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22 vom 19. Dezember 2022</w:t>
      </w:r>
    </w:p>
    <w:p>
      <w:r>
        <w:t>OW Obergericht, 2022-12-19, DE</w:t>
      </w:r>
    </w:p>
    <w:p>
      <w:r>
        <w:rPr>
          <w:b/>
        </w:rPr>
        <w:t xml:space="preserve">Quelle: </w:t>
      </w:r>
      <w:r>
        <w:t>https://mcp.opencaselaw.ch/entscheid/ow_gerichte_OGVE 2018_19 Nr. 22</w:t>
      </w:r>
    </w:p>
    <w:p>
      <w:r>
        <w:t>FR: OW_GERICHTE OGVE 2018/19 Nr. 22 du 19 décembre 2022</w:t>
      </w:r>
    </w:p>
    <w:p>
      <w:r>
        <w:t>IT: OW_GERICHTE OGVE 2018/19 Nr. 22 del 19 dicembre 2022</w:t>
      </w:r>
    </w:p>
    <w:p>
      <w:pPr>
        <w:pStyle w:val="Heading2"/>
      </w:pPr>
      <w:r>
        <w:t>Regeste</w:t>
      </w:r>
    </w:p>
    <w:p>
      <w:r>
        <w:t>OGVE 2018/19 Nr. 22 Art. 67 Abs. 2 GOG Der Streitgegenstand kann vor dem Verwaltungsgericht nicht ausgedehnt oder geändert werden (E. 1). Art. 19 und Art. 62 Abs. 2 BV; Art. 13 lit. i und Art. 28 KV Die Bundesverfassung gewährleistet einen</w:t>
      </w:r>
    </w:p>
    <w:p>
      <w:pPr>
        <w:pStyle w:val="Heading2"/>
      </w:pPr>
      <w:r>
        <w:t>Erwägungen</w:t>
      </w:r>
    </w:p>
    <w:p>
      <w:r>
        <w:rPr>
          <w:b/>
        </w:rPr>
        <w:t>E. 2</w:t>
      </w:r>
    </w:p>
    <w:p>
      <w:r>
        <w:t>Es sei vom Verwaltungsgericht des Kantons Obwalden festzustellen, dass die Eltern S. und K. gestützt auf die von ihnen vorgenommene entsprechende Mitteilung an das zust. Departement ihre Kinder privat unterrichten dürfen und entsprechend zu beaufsichtigen sind.</w:t>
      </w:r>
    </w:p>
    <w:p>
      <w:r>
        <w:rPr>
          <w:b/>
        </w:rPr>
        <w:t>E. 3</w:t>
      </w:r>
    </w:p>
    <w:p>
      <w:r>
        <w:t>Die Beschwerdeführer machen im Wesentlichen geltend, diverse Abhandlungen widerlegten das Argument, dass der durch Eltern erteilte Privatunterricht qualitativ minderwertig sei. Aus Art. 19 BV ergebe sich für Eltern ein Anspruch auf Erteilung von Privatunterricht. Art. 28 KV gewährleiste die Freiheit des Privatunterrichts. Im Bildungsgesetz hätten nur Vorschriften über die staatliche Aufsicht erlassen werden dürfen. Eine Bewilligungspflicht finde in der KV keine Grundlage. Aufsicht heisse nicht, dass Vorschriften (z.B. die von der Vorinstanz zitierte "Handreichung") erlassen werden dürften. Es fehle an einer gesetzlichen Grundlage um zu verlangen, dass nur Personen mit einer abgeschlossenen Lehrerausbildung Homeschooling erteilen dürften. Für zwei Kinder genügten die vorgesehenen neun Lektionen durch eine Lehrkraft und die Beschulung durch sie als Eltern. Es sei ein Riesenunterschied, wenn eine ausgebildete Lehrkraft 22 fremde Kinder unterrichten müsse. Auch eine Befristung von Homeschooling sei ohne Grundlage. Zu Unrecht gehe die Vorinstanz davon aus, dass das Homeschooling die Sozialisierung ihrer Kinder (Sozial- und Selbstkompetenz) nur ungenügend gewährleiste.</w:t>
      </w:r>
    </w:p>
    <w:p>
      <w:r>
        <w:rPr>
          <w:b/>
        </w:rPr>
        <w:t>E. 4.1</w:t>
      </w:r>
    </w:p>
    <w:p>
      <w:r>
        <w:t>Entgegen der Meinung der Beschwerdeführer gewährleistet Art. 19 i.V.m. Art. 62 Abs. 2 BV den privaten Einzelunterricht nicht. Art. 19 BV gewährleistet als Grundrecht einen Anspruch auf ausreichenden und unentgeltlichen Grundschulunterricht. Für das Schulwesen sind die Kantone zuständig; sie sorgen für einen ausreichenden obligatorischen Grundschulunterricht, der allen Kindern offen steht (vgl. Art. 62 Abs. 1 und 2 BV). Der Grundschulunterricht untersteht staatlicher Leitung oder Aufsicht. Aus der Aufsicht folgt, dass der Verfassungsgeber von der Möglichkeit privater Schulen ausgeht; in diesem Fall sollen diese staatlicher Aufsicht unterstehen. Die Bundesverfassung will damit sicherstellen, dass der Grundschulunterricht auch dann, wenn er von nicht öffentlichen Schulen wahrgenommen wird, ausreichend ist. Mehr will sie nicht: Art. 62 Abs. 2 BV erklärt kein bestimmtes Modell privater Unterrichtsform als zulässig oder unzulässig. Der Bundesverfassungsgeber setzt nur die minimalen Anforderungen, damit die der Bildungsverfassung zugrundeliegenden Werte verwirklicht werden. Immerhin können sich die Kantone aufgrund ihrer Schulhoheit zu verschiedenen Modellen bekennen. Nichts anderes ergibt sich aus den weiteren von den Beschwerdeführern angerufenen Bestimmungen der BV (Urteil des Bundesgerichts 2C_738/2010 vom 24. Mai 2011, E. 3.3.2, mit Hinweisen; Peter Hänni, in: Basler Kommentar Bundesverfassung, 2015, Art. 62 N. 12 und 16; Bernhard Ehrenzeller, in: Schweizerisches Bundesverwaltungsrecht, Band IX, Bildungs-, Kultur- und Sprachenrecht, Basel 2018, 29). Als Aufsichtsinstrumente kommen etwa die Bewilligungspflicht, ein Berichtswesen (insbesondere in Bezug auf die Qualitätskontrolle), Inspektionen, Untersuchungen oder die Überprüfung von Entscheiden in Frage (Hänni, a.a.O., Art. 62 N. 29).</w:t>
      </w:r>
    </w:p>
    <w:p>
      <w:r>
        <w:rPr>
          <w:b/>
        </w:rPr>
        <w:t>E. 4.2</w:t>
      </w:r>
    </w:p>
    <w:p>
      <w:r>
        <w:t>Privater Einzelunterricht hat den bundesrechtlichen Anforderungen von Art. 19 und Art. 62 Abs. 2 BV zu genügen: Auch der private Einzelunterricht muss ausreichend sein. Die Ausbildung muss für den Einzelnen angemessen und geeignet sein sowie genügen, um die Schüler gebührend auf ein selbstverantwortliches Leben im modernen Alltag vorzubereiten. Dies gilt auch in Bezug auf die leistungsfähigeren Kinder, die auf der Unterstufe eine gymnasiale Ausbildung absolvieren, da der bundesverfassungsrechtliche Anspruch keinerlei Einschränkungen nach Begabungen oder Fähigkeiten beinhaltet (Herbert Plotke, Die Bedeutung des Begriffes Grundschulunterricht in Art. 19 und Art. 62 Abs. 2 der Bundesverfassung, ZBl 106/2005, 562 f.). Der Anspruch auf ausreichenden Grundschulunterricht wird verletzt, wenn die Ausbildung des Kindes – sei es durch den Staat, sei es durch die Eltern – in einem Masse eingeschränkt wird, dass die Chancengleichheit nicht mehr gewahrt ist oder dass es in der Gesellschaft oder im demokratischen Gemeinwesen nicht (mehr) partizipieren kann. Das ist namentlich der Fall, wenn es Lehrinhalte nicht vermittelt erhält, die in der hiesigen Wertordnung als unverzichtbar gelten oder wenn es von einer nicht genügend ausgebildeten oder fähigen Lehrperson unterrichtet wird. Ein ausreichender Grundschulunterricht muss somit nicht nur schulisches Wissen vermitteln, sondern auch die soziale Kompetenz der Schülerinnen und Schüler entwicklungsspezifisch fördern. Ausschlaggebend ist das Wohl des Kindes und nicht dasjenige der Eltern, weshalb auch die Befugnis der Eltern, Pflege und Erziehung des Kindes zu leiten und die nötigen Entscheidungen zu treffen (Art. 301 ZGB), zu keiner Beeinträchtigung von dessen Anspruch auf genügenden Grundschulunterricht führen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